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8A6D" w14:textId="77777777" w:rsidR="0031116D" w:rsidRPr="00927479" w:rsidRDefault="0031116D" w:rsidP="0031116D">
      <w:pPr>
        <w:pStyle w:val="a9"/>
        <w:spacing w:after="0" w:line="240" w:lineRule="auto"/>
        <w:jc w:val="right"/>
        <w:rPr>
          <w:rFonts w:ascii="Times New Roman" w:hAnsi="Times New Roman"/>
        </w:rPr>
      </w:pPr>
    </w:p>
    <w:p w14:paraId="6B1B67C5" w14:textId="77777777" w:rsidR="0053052F" w:rsidRPr="00927479" w:rsidRDefault="00952E94" w:rsidP="005D1548">
      <w:pPr>
        <w:spacing w:after="0"/>
        <w:jc w:val="center"/>
        <w:rPr>
          <w:rFonts w:ascii="Times New Roman" w:hAnsi="Times New Roman"/>
          <w:b/>
        </w:rPr>
      </w:pPr>
      <w:r w:rsidRPr="00927479">
        <w:rPr>
          <w:rFonts w:ascii="Times New Roman" w:hAnsi="Times New Roman"/>
          <w:b/>
        </w:rPr>
        <w:t>Порядок э</w:t>
      </w:r>
      <w:r w:rsidR="0053052F" w:rsidRPr="00927479">
        <w:rPr>
          <w:rFonts w:ascii="Times New Roman" w:hAnsi="Times New Roman"/>
          <w:b/>
        </w:rPr>
        <w:t>лектронн</w:t>
      </w:r>
      <w:r w:rsidRPr="00927479">
        <w:rPr>
          <w:rFonts w:ascii="Times New Roman" w:hAnsi="Times New Roman"/>
          <w:b/>
        </w:rPr>
        <w:t>ого</w:t>
      </w:r>
      <w:r w:rsidR="0053052F" w:rsidRPr="00927479">
        <w:rPr>
          <w:rFonts w:ascii="Times New Roman" w:hAnsi="Times New Roman"/>
          <w:b/>
        </w:rPr>
        <w:t xml:space="preserve"> документооборот</w:t>
      </w:r>
      <w:r w:rsidRPr="00927479">
        <w:rPr>
          <w:rFonts w:ascii="Times New Roman" w:hAnsi="Times New Roman"/>
          <w:b/>
        </w:rPr>
        <w:t>а</w:t>
      </w:r>
    </w:p>
    <w:p w14:paraId="1568D08D" w14:textId="77777777" w:rsidR="001B785E" w:rsidRPr="00927479" w:rsidRDefault="001B785E" w:rsidP="005D1548">
      <w:pPr>
        <w:spacing w:after="0"/>
        <w:jc w:val="center"/>
        <w:rPr>
          <w:rFonts w:ascii="Times New Roman" w:hAnsi="Times New Roman"/>
          <w:b/>
        </w:rPr>
      </w:pPr>
    </w:p>
    <w:p w14:paraId="60B30B6F" w14:textId="77777777" w:rsidR="0053052F" w:rsidRPr="00927479" w:rsidRDefault="0053052F" w:rsidP="005D1548">
      <w:pPr>
        <w:spacing w:after="0"/>
        <w:jc w:val="both"/>
        <w:rPr>
          <w:rFonts w:ascii="Times New Roman" w:hAnsi="Times New Roman"/>
        </w:rPr>
      </w:pPr>
      <w:r w:rsidRPr="00927479">
        <w:rPr>
          <w:rFonts w:ascii="Times New Roman" w:hAnsi="Times New Roman"/>
        </w:rPr>
        <w:t xml:space="preserve">Стороны определили перечень документов, передаваемых в рамках Системы: </w:t>
      </w:r>
    </w:p>
    <w:p w14:paraId="4FCA8A26" w14:textId="77777777" w:rsidR="002E26D1" w:rsidRPr="00927479" w:rsidRDefault="002E26D1" w:rsidP="002E26D1">
      <w:pPr>
        <w:pStyle w:val="af"/>
        <w:numPr>
          <w:ilvl w:val="0"/>
          <w:numId w:val="2"/>
        </w:numPr>
        <w:rPr>
          <w:sz w:val="22"/>
          <w:szCs w:val="22"/>
        </w:rPr>
      </w:pPr>
      <w:r w:rsidRPr="00927479">
        <w:rPr>
          <w:sz w:val="22"/>
          <w:szCs w:val="22"/>
        </w:rPr>
        <w:t>Договор, в том числе все Приложения к нему, соглашения к договору, протоколы разногласий, протоколы согласования разногласий, Уведомление о расторжении договора.</w:t>
      </w:r>
    </w:p>
    <w:p w14:paraId="2822B211" w14:textId="4441A575" w:rsidR="002E26D1" w:rsidRPr="00927479" w:rsidRDefault="002E26D1" w:rsidP="002E26D1">
      <w:pPr>
        <w:pStyle w:val="af"/>
        <w:numPr>
          <w:ilvl w:val="0"/>
          <w:numId w:val="2"/>
        </w:numPr>
        <w:rPr>
          <w:sz w:val="22"/>
          <w:szCs w:val="22"/>
        </w:rPr>
      </w:pPr>
      <w:r w:rsidRPr="00927479">
        <w:rPr>
          <w:sz w:val="22"/>
          <w:szCs w:val="22"/>
        </w:rPr>
        <w:t>Счет-фактура/корректировочный счет-фактура</w:t>
      </w:r>
      <w:r w:rsidR="00D40EBF" w:rsidRPr="00927479">
        <w:rPr>
          <w:sz w:val="22"/>
          <w:szCs w:val="22"/>
        </w:rPr>
        <w:t>/исправительный счет-фактура</w:t>
      </w:r>
      <w:r w:rsidRPr="00927479">
        <w:rPr>
          <w:sz w:val="22"/>
          <w:szCs w:val="22"/>
        </w:rPr>
        <w:t>.</w:t>
      </w:r>
    </w:p>
    <w:p w14:paraId="5615FCFB" w14:textId="77777777" w:rsidR="003363B8" w:rsidRPr="00927479" w:rsidRDefault="002E26D1" w:rsidP="002E26D1">
      <w:pPr>
        <w:pStyle w:val="af"/>
        <w:numPr>
          <w:ilvl w:val="0"/>
          <w:numId w:val="2"/>
        </w:numPr>
        <w:rPr>
          <w:sz w:val="22"/>
          <w:szCs w:val="22"/>
        </w:rPr>
      </w:pPr>
      <w:r w:rsidRPr="00927479">
        <w:rPr>
          <w:sz w:val="22"/>
          <w:szCs w:val="22"/>
        </w:rPr>
        <w:t>Специфика</w:t>
      </w:r>
      <w:r w:rsidR="00EE5BBB" w:rsidRPr="00927479">
        <w:rPr>
          <w:sz w:val="22"/>
          <w:szCs w:val="22"/>
        </w:rPr>
        <w:t xml:space="preserve">ция/дополнительная Спецификация, Специальная </w:t>
      </w:r>
      <w:r w:rsidR="00F842BD" w:rsidRPr="00927479">
        <w:rPr>
          <w:sz w:val="22"/>
          <w:szCs w:val="22"/>
        </w:rPr>
        <w:t>спецификация/дополнительная Специальная спецификация</w:t>
      </w:r>
    </w:p>
    <w:p w14:paraId="541903C9" w14:textId="77777777" w:rsidR="002E26D1" w:rsidRPr="00927479" w:rsidRDefault="002E26D1" w:rsidP="002E26D1">
      <w:pPr>
        <w:pStyle w:val="af"/>
        <w:numPr>
          <w:ilvl w:val="0"/>
          <w:numId w:val="2"/>
        </w:numPr>
        <w:rPr>
          <w:sz w:val="22"/>
          <w:szCs w:val="22"/>
        </w:rPr>
      </w:pPr>
      <w:r w:rsidRPr="00927479">
        <w:rPr>
          <w:sz w:val="22"/>
          <w:szCs w:val="22"/>
        </w:rPr>
        <w:t>График поставки/дополнительный график поставки.</w:t>
      </w:r>
    </w:p>
    <w:p w14:paraId="5EB3182D" w14:textId="77777777" w:rsidR="002E26D1" w:rsidRPr="00927479" w:rsidRDefault="002E26D1" w:rsidP="002E26D1">
      <w:pPr>
        <w:pStyle w:val="af"/>
        <w:numPr>
          <w:ilvl w:val="0"/>
          <w:numId w:val="2"/>
        </w:numPr>
        <w:rPr>
          <w:sz w:val="22"/>
          <w:szCs w:val="22"/>
        </w:rPr>
      </w:pPr>
      <w:r w:rsidRPr="00927479">
        <w:rPr>
          <w:sz w:val="22"/>
          <w:szCs w:val="22"/>
        </w:rPr>
        <w:t>Документ «Показатели для расчета вознаграждения (премии)».</w:t>
      </w:r>
    </w:p>
    <w:p w14:paraId="17B34E3E" w14:textId="77777777" w:rsidR="002E26D1" w:rsidRPr="00927479" w:rsidRDefault="002E26D1" w:rsidP="002E26D1">
      <w:pPr>
        <w:pStyle w:val="af"/>
        <w:numPr>
          <w:ilvl w:val="0"/>
          <w:numId w:val="2"/>
        </w:numPr>
        <w:rPr>
          <w:sz w:val="22"/>
          <w:szCs w:val="22"/>
          <w:lang w:val="en-US"/>
        </w:rPr>
      </w:pPr>
      <w:proofErr w:type="spellStart"/>
      <w:r w:rsidRPr="00927479">
        <w:rPr>
          <w:sz w:val="22"/>
          <w:szCs w:val="22"/>
          <w:lang w:val="en-US"/>
        </w:rPr>
        <w:t>Акт</w:t>
      </w:r>
      <w:proofErr w:type="spellEnd"/>
      <w:r w:rsidRPr="00927479">
        <w:rPr>
          <w:sz w:val="22"/>
          <w:szCs w:val="22"/>
          <w:lang w:val="en-US"/>
        </w:rPr>
        <w:t xml:space="preserve"> </w:t>
      </w:r>
      <w:proofErr w:type="spellStart"/>
      <w:r w:rsidRPr="00927479">
        <w:rPr>
          <w:sz w:val="22"/>
          <w:szCs w:val="22"/>
          <w:lang w:val="en-US"/>
        </w:rPr>
        <w:t>расчета</w:t>
      </w:r>
      <w:proofErr w:type="spellEnd"/>
      <w:r w:rsidRPr="00927479">
        <w:rPr>
          <w:sz w:val="22"/>
          <w:szCs w:val="22"/>
          <w:lang w:val="en-US"/>
        </w:rPr>
        <w:t xml:space="preserve"> </w:t>
      </w:r>
      <w:proofErr w:type="spellStart"/>
      <w:r w:rsidRPr="00927479">
        <w:rPr>
          <w:sz w:val="22"/>
          <w:szCs w:val="22"/>
          <w:lang w:val="en-US"/>
        </w:rPr>
        <w:t>вознаграждения</w:t>
      </w:r>
      <w:proofErr w:type="spellEnd"/>
      <w:r w:rsidRPr="00927479">
        <w:rPr>
          <w:sz w:val="22"/>
          <w:szCs w:val="22"/>
          <w:lang w:val="en-US"/>
        </w:rPr>
        <w:t xml:space="preserve"> (</w:t>
      </w:r>
      <w:proofErr w:type="spellStart"/>
      <w:r w:rsidRPr="00927479">
        <w:rPr>
          <w:sz w:val="22"/>
          <w:szCs w:val="22"/>
          <w:lang w:val="en-US"/>
        </w:rPr>
        <w:t>премии</w:t>
      </w:r>
      <w:proofErr w:type="spellEnd"/>
      <w:r w:rsidRPr="00927479">
        <w:rPr>
          <w:sz w:val="22"/>
          <w:szCs w:val="22"/>
          <w:lang w:val="en-US"/>
        </w:rPr>
        <w:t>).</w:t>
      </w:r>
    </w:p>
    <w:p w14:paraId="1D190907" w14:textId="50CB267B" w:rsidR="00CA0749" w:rsidRPr="00927479" w:rsidRDefault="00CA0749" w:rsidP="002E26D1">
      <w:pPr>
        <w:pStyle w:val="af"/>
        <w:numPr>
          <w:ilvl w:val="0"/>
          <w:numId w:val="2"/>
        </w:numPr>
        <w:rPr>
          <w:sz w:val="22"/>
          <w:szCs w:val="22"/>
        </w:rPr>
      </w:pPr>
      <w:r w:rsidRPr="00927479">
        <w:rPr>
          <w:sz w:val="22"/>
          <w:szCs w:val="22"/>
        </w:rPr>
        <w:t>Акт об установлении расхождений по количеству и качеству.</w:t>
      </w:r>
    </w:p>
    <w:p w14:paraId="54CD5679" w14:textId="547A8C3F" w:rsidR="002E26D1" w:rsidRPr="00927479" w:rsidRDefault="002E26D1" w:rsidP="002E26D1">
      <w:pPr>
        <w:pStyle w:val="af"/>
        <w:numPr>
          <w:ilvl w:val="0"/>
          <w:numId w:val="2"/>
        </w:numPr>
        <w:rPr>
          <w:sz w:val="22"/>
          <w:szCs w:val="22"/>
        </w:rPr>
      </w:pPr>
      <w:r w:rsidRPr="00927479">
        <w:rPr>
          <w:sz w:val="22"/>
          <w:szCs w:val="22"/>
        </w:rPr>
        <w:t>Акт об установлен</w:t>
      </w:r>
      <w:r w:rsidR="00E6414E" w:rsidRPr="00927479">
        <w:rPr>
          <w:sz w:val="22"/>
          <w:szCs w:val="22"/>
        </w:rPr>
        <w:t>ном</w:t>
      </w:r>
      <w:r w:rsidRPr="00927479">
        <w:rPr>
          <w:sz w:val="22"/>
          <w:szCs w:val="22"/>
        </w:rPr>
        <w:t xml:space="preserve"> расхождени</w:t>
      </w:r>
      <w:r w:rsidR="00E6414E" w:rsidRPr="00927479">
        <w:rPr>
          <w:sz w:val="22"/>
          <w:szCs w:val="22"/>
        </w:rPr>
        <w:t>и</w:t>
      </w:r>
      <w:r w:rsidRPr="00927479">
        <w:rPr>
          <w:sz w:val="22"/>
          <w:szCs w:val="22"/>
        </w:rPr>
        <w:t xml:space="preserve"> по количеству и качеству при приемке товарно-материальных ценностей (</w:t>
      </w:r>
      <w:r w:rsidR="00E6414E" w:rsidRPr="00927479">
        <w:rPr>
          <w:sz w:val="22"/>
          <w:szCs w:val="22"/>
        </w:rPr>
        <w:t>по форме ТОРГ</w:t>
      </w:r>
      <w:r w:rsidRPr="00927479">
        <w:rPr>
          <w:sz w:val="22"/>
          <w:szCs w:val="22"/>
        </w:rPr>
        <w:t>-2).</w:t>
      </w:r>
    </w:p>
    <w:p w14:paraId="647B3167" w14:textId="77777777" w:rsidR="002E26D1" w:rsidRPr="00927479" w:rsidRDefault="002E26D1" w:rsidP="002E26D1">
      <w:pPr>
        <w:pStyle w:val="af"/>
        <w:numPr>
          <w:ilvl w:val="0"/>
          <w:numId w:val="2"/>
        </w:numPr>
        <w:rPr>
          <w:sz w:val="22"/>
          <w:szCs w:val="22"/>
        </w:rPr>
      </w:pPr>
      <w:r w:rsidRPr="00927479">
        <w:rPr>
          <w:sz w:val="22"/>
          <w:szCs w:val="22"/>
        </w:rPr>
        <w:t xml:space="preserve">Акт об установлении расхождений по стоимостным показателям. </w:t>
      </w:r>
    </w:p>
    <w:p w14:paraId="65232744" w14:textId="77777777" w:rsidR="002E26D1" w:rsidRPr="00927479" w:rsidRDefault="002E26D1" w:rsidP="002E26D1">
      <w:pPr>
        <w:pStyle w:val="af"/>
        <w:numPr>
          <w:ilvl w:val="0"/>
          <w:numId w:val="2"/>
        </w:numPr>
        <w:rPr>
          <w:sz w:val="22"/>
          <w:szCs w:val="22"/>
          <w:lang w:val="en-US"/>
        </w:rPr>
      </w:pPr>
      <w:proofErr w:type="spellStart"/>
      <w:r w:rsidRPr="00927479">
        <w:rPr>
          <w:sz w:val="22"/>
          <w:szCs w:val="22"/>
          <w:lang w:val="en-US"/>
        </w:rPr>
        <w:t>Акт</w:t>
      </w:r>
      <w:proofErr w:type="spellEnd"/>
      <w:r w:rsidRPr="00927479">
        <w:rPr>
          <w:sz w:val="22"/>
          <w:szCs w:val="22"/>
          <w:lang w:val="en-US"/>
        </w:rPr>
        <w:t xml:space="preserve"> </w:t>
      </w:r>
      <w:proofErr w:type="spellStart"/>
      <w:r w:rsidRPr="00927479">
        <w:rPr>
          <w:sz w:val="22"/>
          <w:szCs w:val="22"/>
          <w:lang w:val="en-US"/>
        </w:rPr>
        <w:t>сверки</w:t>
      </w:r>
      <w:proofErr w:type="spellEnd"/>
      <w:r w:rsidRPr="00927479">
        <w:rPr>
          <w:sz w:val="22"/>
          <w:szCs w:val="22"/>
          <w:lang w:val="en-US"/>
        </w:rPr>
        <w:t xml:space="preserve"> </w:t>
      </w:r>
      <w:proofErr w:type="spellStart"/>
      <w:r w:rsidRPr="00927479">
        <w:rPr>
          <w:sz w:val="22"/>
          <w:szCs w:val="22"/>
          <w:lang w:val="en-US"/>
        </w:rPr>
        <w:t>взаиморасчетов</w:t>
      </w:r>
      <w:proofErr w:type="spellEnd"/>
      <w:r w:rsidRPr="00927479">
        <w:rPr>
          <w:sz w:val="22"/>
          <w:szCs w:val="22"/>
          <w:lang w:val="en-US"/>
        </w:rPr>
        <w:t>.</w:t>
      </w:r>
    </w:p>
    <w:p w14:paraId="10A6364B" w14:textId="77777777" w:rsidR="002E26D1" w:rsidRPr="00927479" w:rsidRDefault="002E26D1" w:rsidP="002E26D1">
      <w:pPr>
        <w:pStyle w:val="af"/>
        <w:numPr>
          <w:ilvl w:val="0"/>
          <w:numId w:val="2"/>
        </w:numPr>
        <w:rPr>
          <w:sz w:val="22"/>
          <w:szCs w:val="22"/>
          <w:lang w:val="en-US"/>
        </w:rPr>
      </w:pPr>
      <w:proofErr w:type="spellStart"/>
      <w:r w:rsidRPr="00927479">
        <w:rPr>
          <w:sz w:val="22"/>
          <w:szCs w:val="22"/>
          <w:lang w:val="en-US"/>
        </w:rPr>
        <w:t>Акт</w:t>
      </w:r>
      <w:proofErr w:type="spellEnd"/>
      <w:r w:rsidRPr="00927479">
        <w:rPr>
          <w:sz w:val="22"/>
          <w:szCs w:val="22"/>
          <w:lang w:val="en-US"/>
        </w:rPr>
        <w:t xml:space="preserve"> </w:t>
      </w:r>
      <w:proofErr w:type="spellStart"/>
      <w:r w:rsidRPr="00927479">
        <w:rPr>
          <w:sz w:val="22"/>
          <w:szCs w:val="22"/>
          <w:lang w:val="en-US"/>
        </w:rPr>
        <w:t>приема-передачи</w:t>
      </w:r>
      <w:proofErr w:type="spellEnd"/>
      <w:r w:rsidRPr="00927479">
        <w:rPr>
          <w:sz w:val="22"/>
          <w:szCs w:val="22"/>
          <w:lang w:val="en-US"/>
        </w:rPr>
        <w:t xml:space="preserve"> </w:t>
      </w:r>
      <w:proofErr w:type="spellStart"/>
      <w:r w:rsidRPr="00927479">
        <w:rPr>
          <w:sz w:val="22"/>
          <w:szCs w:val="22"/>
          <w:lang w:val="en-US"/>
        </w:rPr>
        <w:t>товара</w:t>
      </w:r>
      <w:proofErr w:type="spellEnd"/>
      <w:r w:rsidRPr="00927479">
        <w:rPr>
          <w:sz w:val="22"/>
          <w:szCs w:val="22"/>
          <w:lang w:val="en-US"/>
        </w:rPr>
        <w:t>.</w:t>
      </w:r>
    </w:p>
    <w:p w14:paraId="537DA5E0" w14:textId="77777777" w:rsidR="00E74771" w:rsidRPr="00927479" w:rsidRDefault="00E74771" w:rsidP="002E26D1">
      <w:pPr>
        <w:pStyle w:val="af"/>
        <w:numPr>
          <w:ilvl w:val="0"/>
          <w:numId w:val="2"/>
        </w:numPr>
        <w:rPr>
          <w:sz w:val="22"/>
          <w:szCs w:val="22"/>
          <w:lang w:val="en-US"/>
        </w:rPr>
      </w:pPr>
      <w:r w:rsidRPr="00927479">
        <w:rPr>
          <w:sz w:val="22"/>
          <w:szCs w:val="22"/>
        </w:rPr>
        <w:t>Акт приемки товара.</w:t>
      </w:r>
    </w:p>
    <w:p w14:paraId="165158EC" w14:textId="77777777" w:rsidR="002E26D1" w:rsidRPr="00927479" w:rsidRDefault="002E26D1" w:rsidP="002E26D1">
      <w:pPr>
        <w:pStyle w:val="af"/>
        <w:numPr>
          <w:ilvl w:val="0"/>
          <w:numId w:val="2"/>
        </w:numPr>
        <w:rPr>
          <w:sz w:val="22"/>
          <w:szCs w:val="22"/>
          <w:lang w:val="en-US"/>
        </w:rPr>
      </w:pPr>
      <w:proofErr w:type="spellStart"/>
      <w:r w:rsidRPr="00927479">
        <w:rPr>
          <w:sz w:val="22"/>
          <w:szCs w:val="22"/>
          <w:lang w:val="en-US"/>
        </w:rPr>
        <w:t>Список</w:t>
      </w:r>
      <w:proofErr w:type="spellEnd"/>
      <w:r w:rsidRPr="00927479">
        <w:rPr>
          <w:sz w:val="22"/>
          <w:szCs w:val="22"/>
          <w:lang w:val="en-US"/>
        </w:rPr>
        <w:t xml:space="preserve"> </w:t>
      </w:r>
      <w:proofErr w:type="spellStart"/>
      <w:r w:rsidRPr="00927479">
        <w:rPr>
          <w:sz w:val="22"/>
          <w:szCs w:val="22"/>
          <w:lang w:val="en-US"/>
        </w:rPr>
        <w:t>уполномоченных</w:t>
      </w:r>
      <w:proofErr w:type="spellEnd"/>
      <w:r w:rsidRPr="00927479">
        <w:rPr>
          <w:sz w:val="22"/>
          <w:szCs w:val="22"/>
          <w:lang w:val="en-US"/>
        </w:rPr>
        <w:t xml:space="preserve"> </w:t>
      </w:r>
      <w:proofErr w:type="spellStart"/>
      <w:r w:rsidRPr="00927479">
        <w:rPr>
          <w:sz w:val="22"/>
          <w:szCs w:val="22"/>
          <w:lang w:val="en-US"/>
        </w:rPr>
        <w:t>лиц</w:t>
      </w:r>
      <w:proofErr w:type="spellEnd"/>
      <w:r w:rsidRPr="00927479">
        <w:rPr>
          <w:sz w:val="22"/>
          <w:szCs w:val="22"/>
          <w:lang w:val="en-US"/>
        </w:rPr>
        <w:t>.</w:t>
      </w:r>
    </w:p>
    <w:p w14:paraId="49CD0158" w14:textId="77777777" w:rsidR="00713A6A" w:rsidRPr="00927479" w:rsidRDefault="00713A6A" w:rsidP="00713A6A">
      <w:pPr>
        <w:pStyle w:val="af"/>
        <w:numPr>
          <w:ilvl w:val="0"/>
          <w:numId w:val="2"/>
        </w:numPr>
        <w:jc w:val="both"/>
        <w:rPr>
          <w:b/>
          <w:sz w:val="22"/>
          <w:szCs w:val="22"/>
        </w:rPr>
      </w:pPr>
      <w:r w:rsidRPr="00927479">
        <w:rPr>
          <w:sz w:val="22"/>
          <w:szCs w:val="22"/>
        </w:rPr>
        <w:t xml:space="preserve">Претензия. </w:t>
      </w:r>
    </w:p>
    <w:p w14:paraId="58B95BDE" w14:textId="77777777" w:rsidR="00713A6A" w:rsidRPr="00927479" w:rsidRDefault="00713A6A" w:rsidP="00713A6A">
      <w:pPr>
        <w:pStyle w:val="af"/>
        <w:numPr>
          <w:ilvl w:val="0"/>
          <w:numId w:val="2"/>
        </w:numPr>
        <w:jc w:val="both"/>
        <w:rPr>
          <w:b/>
          <w:sz w:val="22"/>
          <w:szCs w:val="22"/>
        </w:rPr>
      </w:pPr>
      <w:r w:rsidRPr="00927479">
        <w:rPr>
          <w:sz w:val="22"/>
          <w:szCs w:val="22"/>
        </w:rPr>
        <w:t>Заявление о зачете встречных требований.</w:t>
      </w:r>
    </w:p>
    <w:p w14:paraId="1ABA0984" w14:textId="40BC2BEB" w:rsidR="00FA3F56" w:rsidRPr="00927479" w:rsidRDefault="006518AE" w:rsidP="006518AE">
      <w:pPr>
        <w:numPr>
          <w:ilvl w:val="0"/>
          <w:numId w:val="2"/>
        </w:numPr>
        <w:spacing w:after="0"/>
        <w:jc w:val="both"/>
        <w:rPr>
          <w:rFonts w:ascii="Times New Roman" w:hAnsi="Times New Roman"/>
        </w:rPr>
      </w:pPr>
      <w:r w:rsidRPr="00927479">
        <w:rPr>
          <w:rFonts w:ascii="Times New Roman" w:hAnsi="Times New Roman"/>
        </w:rPr>
        <w:t>Уведомления о планируемых изменениях в опубликованные на сайте положения Договора</w:t>
      </w:r>
      <w:r w:rsidR="004E766C" w:rsidRPr="00927479">
        <w:rPr>
          <w:rFonts w:ascii="Times New Roman" w:hAnsi="Times New Roman"/>
        </w:rPr>
        <w:t>.</w:t>
      </w:r>
    </w:p>
    <w:p w14:paraId="79353809" w14:textId="77777777" w:rsidR="0053052F" w:rsidRPr="00927479" w:rsidRDefault="0053052F" w:rsidP="00713A6A">
      <w:pPr>
        <w:spacing w:after="0"/>
        <w:jc w:val="both"/>
        <w:rPr>
          <w:rFonts w:ascii="Times New Roman" w:hAnsi="Times New Roman"/>
        </w:rPr>
      </w:pPr>
      <w:r w:rsidRPr="00927479">
        <w:rPr>
          <w:rFonts w:ascii="Times New Roman" w:hAnsi="Times New Roman"/>
        </w:rPr>
        <w:t xml:space="preserve">Стороны определили перечень документов, передаваемых посредством </w:t>
      </w:r>
      <w:r w:rsidRPr="00927479">
        <w:rPr>
          <w:rFonts w:ascii="Times New Roman" w:hAnsi="Times New Roman"/>
          <w:lang w:val="en-US"/>
        </w:rPr>
        <w:t>EDI</w:t>
      </w:r>
      <w:r w:rsidRPr="00927479">
        <w:rPr>
          <w:rFonts w:ascii="Times New Roman" w:hAnsi="Times New Roman"/>
        </w:rPr>
        <w:t>:</w:t>
      </w:r>
    </w:p>
    <w:p w14:paraId="09B3B2D3" w14:textId="77777777" w:rsidR="0053052F" w:rsidRPr="00927479" w:rsidRDefault="00713A6A" w:rsidP="00713A6A">
      <w:pPr>
        <w:pStyle w:val="af"/>
        <w:ind w:left="709"/>
        <w:rPr>
          <w:sz w:val="22"/>
          <w:szCs w:val="22"/>
        </w:rPr>
      </w:pPr>
      <w:r w:rsidRPr="00927479">
        <w:rPr>
          <w:sz w:val="22"/>
          <w:szCs w:val="22"/>
        </w:rPr>
        <w:t xml:space="preserve">1. </w:t>
      </w:r>
      <w:r w:rsidR="0053052F" w:rsidRPr="00927479">
        <w:rPr>
          <w:sz w:val="22"/>
          <w:szCs w:val="22"/>
          <w:lang w:val="en-US"/>
        </w:rPr>
        <w:t>ORDERS</w:t>
      </w:r>
      <w:r w:rsidR="0053052F" w:rsidRPr="00927479">
        <w:rPr>
          <w:sz w:val="22"/>
          <w:szCs w:val="22"/>
        </w:rPr>
        <w:t> – заказ на поставку.</w:t>
      </w:r>
    </w:p>
    <w:p w14:paraId="4DDFFE60" w14:textId="77777777" w:rsidR="0053052F" w:rsidRPr="00927479" w:rsidRDefault="00713A6A" w:rsidP="00713A6A">
      <w:pPr>
        <w:pStyle w:val="af"/>
        <w:ind w:left="709"/>
        <w:rPr>
          <w:sz w:val="22"/>
          <w:szCs w:val="22"/>
        </w:rPr>
      </w:pPr>
      <w:r w:rsidRPr="00927479">
        <w:rPr>
          <w:sz w:val="22"/>
          <w:szCs w:val="22"/>
        </w:rPr>
        <w:t xml:space="preserve">2. </w:t>
      </w:r>
      <w:r w:rsidR="0053052F" w:rsidRPr="00927479">
        <w:rPr>
          <w:sz w:val="22"/>
          <w:szCs w:val="22"/>
          <w:lang w:val="en-US"/>
        </w:rPr>
        <w:t>DESADV</w:t>
      </w:r>
      <w:r w:rsidR="0053052F" w:rsidRPr="00927479">
        <w:rPr>
          <w:sz w:val="22"/>
          <w:szCs w:val="22"/>
        </w:rPr>
        <w:t xml:space="preserve"> – уведомление об отгрузке.</w:t>
      </w:r>
    </w:p>
    <w:p w14:paraId="252E8BC8" w14:textId="77777777" w:rsidR="0053052F" w:rsidRPr="00927479" w:rsidRDefault="00713A6A" w:rsidP="00713A6A">
      <w:pPr>
        <w:pStyle w:val="af"/>
        <w:ind w:left="709"/>
        <w:rPr>
          <w:sz w:val="22"/>
          <w:szCs w:val="22"/>
        </w:rPr>
      </w:pPr>
      <w:r w:rsidRPr="00927479">
        <w:rPr>
          <w:sz w:val="22"/>
          <w:szCs w:val="22"/>
        </w:rPr>
        <w:t xml:space="preserve">3. </w:t>
      </w:r>
      <w:r w:rsidR="0053052F" w:rsidRPr="00927479">
        <w:rPr>
          <w:sz w:val="22"/>
          <w:szCs w:val="22"/>
          <w:lang w:val="en-US"/>
        </w:rPr>
        <w:t>RECADV</w:t>
      </w:r>
      <w:r w:rsidR="0053052F" w:rsidRPr="00927479">
        <w:rPr>
          <w:sz w:val="22"/>
          <w:szCs w:val="22"/>
        </w:rPr>
        <w:t xml:space="preserve"> – уведомление о приемке.</w:t>
      </w:r>
    </w:p>
    <w:p w14:paraId="05B54882" w14:textId="77777777" w:rsidR="0053052F" w:rsidRPr="00927479" w:rsidRDefault="00713A6A" w:rsidP="00713A6A">
      <w:pPr>
        <w:pStyle w:val="af"/>
        <w:ind w:left="709"/>
        <w:rPr>
          <w:sz w:val="22"/>
          <w:szCs w:val="22"/>
        </w:rPr>
      </w:pPr>
      <w:r w:rsidRPr="00927479">
        <w:rPr>
          <w:sz w:val="22"/>
          <w:szCs w:val="22"/>
        </w:rPr>
        <w:t xml:space="preserve">4. </w:t>
      </w:r>
      <w:r w:rsidR="0053052F" w:rsidRPr="00927479">
        <w:rPr>
          <w:sz w:val="22"/>
          <w:szCs w:val="22"/>
          <w:lang w:val="en-US"/>
        </w:rPr>
        <w:t>INVOIC</w:t>
      </w:r>
      <w:r w:rsidR="0053052F" w:rsidRPr="00927479">
        <w:rPr>
          <w:sz w:val="22"/>
          <w:szCs w:val="22"/>
        </w:rPr>
        <w:t xml:space="preserve"> – счет-фактура.</w:t>
      </w:r>
    </w:p>
    <w:p w14:paraId="16AB5655" w14:textId="77777777" w:rsidR="0053052F" w:rsidRPr="00927479" w:rsidRDefault="0053052F" w:rsidP="00C173E4">
      <w:pPr>
        <w:spacing w:after="0"/>
        <w:ind w:firstLine="708"/>
        <w:jc w:val="both"/>
        <w:rPr>
          <w:rFonts w:ascii="Times New Roman" w:hAnsi="Times New Roman"/>
        </w:rPr>
      </w:pPr>
      <w:r w:rsidRPr="00927479">
        <w:rPr>
          <w:rFonts w:ascii="Times New Roman" w:hAnsi="Times New Roman"/>
        </w:rPr>
        <w:t xml:space="preserve">При осуществлении электронного документооборота Стороны используют согласованные в договоре формы документов. Если формы документов не согласованы в договоре, Стороны используют формы и форматы, утвержденные приказами ФНС России. </w:t>
      </w:r>
    </w:p>
    <w:p w14:paraId="461BA9B6"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Стороны признают, что полученные ими электронные документы, заверенные усиленной квалифицированной электронной подписью уполномоченных лиц (далее ЭП), юридически эквивалентны документам на бумажных носителях, заверенных соответствующими подписями сторон. Приоритет при обмене документами на разных носителях (бумажный и электронный), но с одинаковыми номерами, имеют электронные документы при условии их подписания уполномоченным лицом в пределах срока действия сертификата ключа проверки электронной подписи.</w:t>
      </w:r>
    </w:p>
    <w:p w14:paraId="2E4A72C0"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ЭП, которой подписан документ, признается действительной до тех пор, пока решением суда не установлено иное.</w:t>
      </w:r>
    </w:p>
    <w:p w14:paraId="7920FC19"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Стороны за свой счет приобретают, устанавливают и обеспечивают работоспособность средств и каналов связи, программного обеспечения, а также средств криптографической защиты информации, необходимых для подключения к Системе.</w:t>
      </w:r>
    </w:p>
    <w:p w14:paraId="01744ECF"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Изготовление и сертификацию ключей шифрования и ЭП для Покупателя и Поставщика осуществляет удостоверяющий центр из перечня аккредитованных Федеральной налоговой службой РФ.</w:t>
      </w:r>
    </w:p>
    <w:p w14:paraId="66001B43" w14:textId="1846E56E" w:rsidR="0053052F" w:rsidRPr="00927479" w:rsidRDefault="0053052F" w:rsidP="005D1548">
      <w:pPr>
        <w:spacing w:after="0"/>
        <w:ind w:firstLine="708"/>
        <w:jc w:val="both"/>
        <w:rPr>
          <w:rFonts w:ascii="Times New Roman" w:hAnsi="Times New Roman"/>
        </w:rPr>
      </w:pPr>
      <w:r w:rsidRPr="00927479">
        <w:rPr>
          <w:rFonts w:ascii="Times New Roman" w:hAnsi="Times New Roman"/>
        </w:rPr>
        <w:t>Стороны оформляют и представляют оператору (выбор оператора согласовывается сторонами дополнительно из списка операторов, опубликованного на сайте:</w:t>
      </w:r>
      <w:r w:rsidR="00FC62DF">
        <w:t xml:space="preserve"> </w:t>
      </w:r>
      <w:hyperlink r:id="rId7" w:history="1">
        <w:r w:rsidR="00FC62DF" w:rsidRPr="00FC62DF">
          <w:rPr>
            <w:rStyle w:val="ae"/>
            <w:rFonts w:ascii="Times New Roman" w:hAnsi="Times New Roman"/>
          </w:rPr>
          <w:t>https://www.nalog.gov.ru/rn22/taxation/submission_statements/edo_reestr/</w:t>
        </w:r>
      </w:hyperlink>
      <w:r w:rsidRPr="00927479">
        <w:rPr>
          <w:rFonts w:ascii="Times New Roman" w:hAnsi="Times New Roman"/>
        </w:rPr>
        <w:t xml:space="preserve">) заявление об участии в электронном документообороте в электронном виде по телекоммуникационным каналам связи, а также получают у оператора идентификаторы участников электронного документооборота, </w:t>
      </w:r>
      <w:r w:rsidRPr="00927479">
        <w:rPr>
          <w:rFonts w:ascii="Times New Roman" w:hAnsi="Times New Roman"/>
        </w:rPr>
        <w:lastRenderedPageBreak/>
        <w:t>реквизиты доступа и другие данные, необходимые для подключения к электронному документообороту в электронном виде по телекоммуникационным каналам связи.</w:t>
      </w:r>
    </w:p>
    <w:p w14:paraId="2D22BECC" w14:textId="77777777" w:rsidR="0053052F" w:rsidRPr="00927479" w:rsidRDefault="0053052F" w:rsidP="005D1548">
      <w:pPr>
        <w:spacing w:after="0"/>
        <w:ind w:firstLine="708"/>
        <w:jc w:val="center"/>
        <w:rPr>
          <w:rFonts w:ascii="Times New Roman" w:hAnsi="Times New Roman"/>
        </w:rPr>
      </w:pPr>
      <w:r w:rsidRPr="00927479">
        <w:rPr>
          <w:rFonts w:ascii="Times New Roman" w:hAnsi="Times New Roman"/>
        </w:rPr>
        <w:t>Обязанности Сторон в рамках обмена электронными документами</w:t>
      </w:r>
    </w:p>
    <w:p w14:paraId="28FE54CE"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Покупатель принимает на себя следующие обязанности:</w:t>
      </w:r>
    </w:p>
    <w:p w14:paraId="40081B42" w14:textId="77777777" w:rsidR="0053052F" w:rsidRPr="00927479" w:rsidRDefault="0053052F" w:rsidP="005D1548">
      <w:pPr>
        <w:spacing w:after="0"/>
        <w:jc w:val="both"/>
        <w:rPr>
          <w:rFonts w:ascii="Times New Roman" w:hAnsi="Times New Roman"/>
        </w:rPr>
      </w:pPr>
      <w:r w:rsidRPr="00927479">
        <w:rPr>
          <w:rFonts w:ascii="Times New Roman" w:hAnsi="Times New Roman"/>
        </w:rPr>
        <w:t>• обеспечить со своей стороны функционирование всего оборудования, которое необходимо для обмена документами с Поставщиком;</w:t>
      </w:r>
    </w:p>
    <w:p w14:paraId="120A8434" w14:textId="77777777" w:rsidR="0053052F" w:rsidRPr="00927479" w:rsidRDefault="0053052F" w:rsidP="005D1548">
      <w:pPr>
        <w:spacing w:after="0"/>
        <w:jc w:val="both"/>
        <w:rPr>
          <w:rFonts w:ascii="Times New Roman" w:hAnsi="Times New Roman"/>
        </w:rPr>
      </w:pPr>
      <w:r w:rsidRPr="00927479">
        <w:rPr>
          <w:rFonts w:ascii="Times New Roman" w:hAnsi="Times New Roman"/>
        </w:rPr>
        <w:t>• осуществлять обмен документами с Поставщиком в соответствии с условиями договора;</w:t>
      </w:r>
    </w:p>
    <w:p w14:paraId="387E6E79" w14:textId="77777777" w:rsidR="0053052F" w:rsidRPr="00927479" w:rsidRDefault="0053052F" w:rsidP="005D1548">
      <w:pPr>
        <w:spacing w:after="0"/>
        <w:jc w:val="both"/>
        <w:rPr>
          <w:rFonts w:ascii="Times New Roman" w:hAnsi="Times New Roman"/>
        </w:rPr>
      </w:pPr>
      <w:r w:rsidRPr="00927479">
        <w:rPr>
          <w:rFonts w:ascii="Times New Roman" w:hAnsi="Times New Roman"/>
        </w:rPr>
        <w:t>• при изменении требований к передаваемым по телекоммуникационным средствам связи документам известить Поставщика об этих изменениях за 14 (четырнадцать) календарных дней до даты вступления в силу указанных изменений;</w:t>
      </w:r>
    </w:p>
    <w:p w14:paraId="6560D88B"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Поставщик принимает на себя следующие обязанности:</w:t>
      </w:r>
    </w:p>
    <w:p w14:paraId="4F603C5D" w14:textId="18F81E14" w:rsidR="0053052F" w:rsidRPr="00927479" w:rsidRDefault="0053052F" w:rsidP="005D1548">
      <w:pPr>
        <w:spacing w:after="0"/>
        <w:jc w:val="both"/>
        <w:rPr>
          <w:rFonts w:ascii="Times New Roman" w:hAnsi="Times New Roman"/>
        </w:rPr>
      </w:pPr>
      <w:r w:rsidRPr="00927479">
        <w:rPr>
          <w:rFonts w:ascii="Times New Roman" w:hAnsi="Times New Roman"/>
        </w:rPr>
        <w:t>• обеспечить со своей стороны функционирование всего оборудования, которое необходимо для обмена документами с Покупателем;</w:t>
      </w:r>
    </w:p>
    <w:p w14:paraId="39F89CE5" w14:textId="77777777" w:rsidR="0053052F" w:rsidRPr="00927479" w:rsidRDefault="0053052F" w:rsidP="005D1548">
      <w:pPr>
        <w:spacing w:after="0"/>
        <w:jc w:val="both"/>
        <w:rPr>
          <w:rFonts w:ascii="Times New Roman" w:hAnsi="Times New Roman"/>
        </w:rPr>
      </w:pPr>
      <w:r w:rsidRPr="00927479">
        <w:rPr>
          <w:rFonts w:ascii="Times New Roman" w:hAnsi="Times New Roman"/>
        </w:rPr>
        <w:t>• осуществлять обмен документами с Покупателем в соответствии с условиями договора.</w:t>
      </w:r>
    </w:p>
    <w:p w14:paraId="11A7C041"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В целях обеспечения безопасности обработки и конфиденциальности информации Стороны обязаны:</w:t>
      </w:r>
    </w:p>
    <w:p w14:paraId="6B8746E4" w14:textId="77777777" w:rsidR="0053052F" w:rsidRPr="00927479" w:rsidRDefault="0053052F" w:rsidP="005D1548">
      <w:pPr>
        <w:spacing w:after="0"/>
        <w:jc w:val="both"/>
        <w:rPr>
          <w:rFonts w:ascii="Times New Roman" w:hAnsi="Times New Roman"/>
        </w:rPr>
      </w:pPr>
      <w:r w:rsidRPr="00927479">
        <w:rPr>
          <w:rFonts w:ascii="Times New Roman" w:hAnsi="Times New Roman"/>
        </w:rPr>
        <w:t>• соблюдать требования эксплуатационной документации на средства криптографической защиты информации;</w:t>
      </w:r>
    </w:p>
    <w:p w14:paraId="3FB78B65" w14:textId="77777777" w:rsidR="0053052F" w:rsidRPr="00927479" w:rsidRDefault="0053052F" w:rsidP="005D1548">
      <w:pPr>
        <w:spacing w:after="0"/>
        <w:jc w:val="both"/>
        <w:rPr>
          <w:rFonts w:ascii="Times New Roman" w:hAnsi="Times New Roman"/>
        </w:rPr>
      </w:pPr>
      <w:r w:rsidRPr="00927479">
        <w:rPr>
          <w:rFonts w:ascii="Times New Roman" w:hAnsi="Times New Roman"/>
        </w:rPr>
        <w:t>• не допускать появления в компьютерной среде, где функционирует Система, компьютерных вирусов и программ, направленных на ее разрушение;</w:t>
      </w:r>
    </w:p>
    <w:p w14:paraId="7F6B7130" w14:textId="77777777" w:rsidR="0053052F" w:rsidRPr="00927479" w:rsidRDefault="0053052F" w:rsidP="005D1548">
      <w:pPr>
        <w:spacing w:after="0"/>
        <w:jc w:val="both"/>
        <w:rPr>
          <w:rFonts w:ascii="Times New Roman" w:hAnsi="Times New Roman"/>
        </w:rPr>
      </w:pPr>
      <w:r w:rsidRPr="00927479">
        <w:rPr>
          <w:rFonts w:ascii="Times New Roman" w:hAnsi="Times New Roman"/>
        </w:rPr>
        <w:t>• не уничтожать и/или не модифицировать архивы открытых ключей электронной подписи, электронных документов;</w:t>
      </w:r>
    </w:p>
    <w:p w14:paraId="57E233ED" w14:textId="77777777" w:rsidR="0053052F" w:rsidRPr="00927479" w:rsidRDefault="0053052F" w:rsidP="005D1548">
      <w:pPr>
        <w:spacing w:after="0"/>
        <w:jc w:val="both"/>
        <w:rPr>
          <w:rFonts w:ascii="Times New Roman" w:hAnsi="Times New Roman"/>
        </w:rPr>
      </w:pPr>
      <w:r w:rsidRPr="00927479">
        <w:rPr>
          <w:rFonts w:ascii="Times New Roman" w:hAnsi="Times New Roman"/>
        </w:rPr>
        <w:t>• осуществлять передачу электронных документов с конфиденциальной информацией только в зашифрованном виде;</w:t>
      </w:r>
    </w:p>
    <w:p w14:paraId="1BEEDDBF" w14:textId="77777777" w:rsidR="0053052F" w:rsidRPr="00927479" w:rsidRDefault="0053052F" w:rsidP="005D1548">
      <w:pPr>
        <w:spacing w:after="0"/>
        <w:jc w:val="both"/>
        <w:rPr>
          <w:rFonts w:ascii="Times New Roman" w:hAnsi="Times New Roman"/>
        </w:rPr>
      </w:pPr>
      <w:r w:rsidRPr="00927479">
        <w:rPr>
          <w:rFonts w:ascii="Times New Roman" w:hAnsi="Times New Roman"/>
        </w:rPr>
        <w:t>• не использовать для работы в Системе скомпрометированные ключи.</w:t>
      </w:r>
    </w:p>
    <w:p w14:paraId="35BDA947"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В случае невозможности исполнения обязательств по обмену электронными документами</w:t>
      </w:r>
    </w:p>
    <w:p w14:paraId="4813C7CF" w14:textId="77777777" w:rsidR="0053052F" w:rsidRPr="00927479" w:rsidRDefault="0053052F" w:rsidP="005D1548">
      <w:pPr>
        <w:spacing w:after="0"/>
        <w:jc w:val="both"/>
        <w:rPr>
          <w:rFonts w:ascii="Times New Roman" w:hAnsi="Times New Roman"/>
        </w:rPr>
      </w:pPr>
      <w:r w:rsidRPr="00927479">
        <w:rPr>
          <w:rFonts w:ascii="Times New Roman" w:hAnsi="Times New Roman"/>
        </w:rPr>
        <w:t>Стороны немедленно извещают друг друга о приостановлении обязательств по обмену электронными документами.</w:t>
      </w:r>
    </w:p>
    <w:p w14:paraId="39E520D3" w14:textId="77777777" w:rsidR="0053052F" w:rsidRPr="00927479" w:rsidRDefault="0053052F" w:rsidP="005D1548">
      <w:pPr>
        <w:spacing w:after="0"/>
        <w:ind w:firstLine="708"/>
        <w:jc w:val="both"/>
        <w:rPr>
          <w:rFonts w:ascii="Times New Roman" w:hAnsi="Times New Roman"/>
        </w:rPr>
      </w:pPr>
      <w:r w:rsidRPr="00927479">
        <w:rPr>
          <w:rFonts w:ascii="Times New Roman" w:hAnsi="Times New Roman"/>
        </w:rPr>
        <w:t>Стороны несут ответственность за сохранность программного обеспечения системы, архивов открытых ключей ЭП и электронных документов, размещенных на своих компьютерах.</w:t>
      </w:r>
    </w:p>
    <w:p w14:paraId="26290337" w14:textId="77777777" w:rsidR="0053052F" w:rsidRPr="00927479" w:rsidRDefault="0053052F" w:rsidP="005D1548">
      <w:pPr>
        <w:spacing w:after="0"/>
        <w:ind w:firstLine="708"/>
        <w:jc w:val="both"/>
        <w:rPr>
          <w:rFonts w:ascii="Times New Roman" w:hAnsi="Times New Roman"/>
          <w:bCs/>
          <w:color w:val="000000"/>
        </w:rPr>
      </w:pPr>
      <w:r w:rsidRPr="00927479">
        <w:rPr>
          <w:rFonts w:ascii="Times New Roman" w:hAnsi="Times New Roman"/>
        </w:rPr>
        <w:t>При заключении договора каждая из Сторон обязуется предоставить другой Стороне надлежащим образом заверенные копии документов, подтверждающих полномочия их представителей на подписание документов, указанных в договоре и Приложениях к нему. Стороны обязуются незамедлительно информировать друг друга о любых изменениях в полномочиях их представителей или их прекращении с предоставлением копий документов о передаче полномочий другим лицам. В случаях неисполнения данной обязанности, повлекших для другой Стороны убытки, связанные с подписанием документов неуполномоченным лицом (либо с превышением таких полномочий), а также повлекших несвоевременность исполнения обязательств при отсутствии уполномоченного лица, Сторона, допустившая такое нарушение, обязуется возместить другой Стороне убытки в полном объеме</w:t>
      </w:r>
      <w:r w:rsidRPr="00927479">
        <w:rPr>
          <w:rFonts w:ascii="Times New Roman" w:hAnsi="Times New Roman"/>
          <w:bCs/>
          <w:color w:val="000000"/>
        </w:rPr>
        <w:t>».</w:t>
      </w:r>
    </w:p>
    <w:p w14:paraId="0E6D102D" w14:textId="256ADCE9" w:rsidR="0053052F" w:rsidRPr="00927479" w:rsidRDefault="0053052F" w:rsidP="005D1548">
      <w:pPr>
        <w:spacing w:after="0"/>
        <w:ind w:firstLine="708"/>
        <w:jc w:val="both"/>
        <w:rPr>
          <w:rFonts w:ascii="Times New Roman" w:hAnsi="Times New Roman"/>
        </w:rPr>
      </w:pPr>
      <w:r w:rsidRPr="00927479">
        <w:rPr>
          <w:rFonts w:ascii="Times New Roman" w:hAnsi="Times New Roman"/>
        </w:rPr>
        <w:t xml:space="preserve">При обмене документами Стороны </w:t>
      </w:r>
      <w:r w:rsidR="005E21B7" w:rsidRPr="00927479">
        <w:rPr>
          <w:rFonts w:ascii="Times New Roman" w:hAnsi="Times New Roman"/>
        </w:rPr>
        <w:t>руководствуются Федеральным</w:t>
      </w:r>
      <w:r w:rsidRPr="00927479">
        <w:rPr>
          <w:rFonts w:ascii="Times New Roman" w:hAnsi="Times New Roman"/>
        </w:rPr>
        <w:t xml:space="preserve"> Законом № 63-ФЗ от 6 апреля 2011 г.  «Об электронной подписи» и другими нормативно-правовыми актами РФ.</w:t>
      </w:r>
    </w:p>
    <w:p w14:paraId="091254DC" w14:textId="77777777" w:rsidR="0053052F" w:rsidRPr="00927479" w:rsidRDefault="0053052F" w:rsidP="005D1548">
      <w:pPr>
        <w:pStyle w:val="a4"/>
        <w:tabs>
          <w:tab w:val="left" w:pos="426"/>
        </w:tabs>
        <w:rPr>
          <w:szCs w:val="22"/>
        </w:rPr>
      </w:pPr>
      <w:r w:rsidRPr="00927479">
        <w:rPr>
          <w:szCs w:val="22"/>
        </w:rPr>
        <w:tab/>
      </w:r>
    </w:p>
    <w:sectPr w:rsidR="0053052F" w:rsidRPr="00927479" w:rsidSect="0062054E">
      <w:headerReference w:type="default" r:id="rId8"/>
      <w:footerReference w:type="default" r:id="rId9"/>
      <w:pgSz w:w="11906" w:h="16838"/>
      <w:pgMar w:top="709" w:right="850" w:bottom="1134" w:left="156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39E7" w14:textId="77777777" w:rsidR="002D6478" w:rsidRDefault="002D6478" w:rsidP="00D55867">
      <w:pPr>
        <w:spacing w:after="0" w:line="240" w:lineRule="auto"/>
      </w:pPr>
      <w:r>
        <w:separator/>
      </w:r>
    </w:p>
  </w:endnote>
  <w:endnote w:type="continuationSeparator" w:id="0">
    <w:p w14:paraId="6F0E7884" w14:textId="77777777" w:rsidR="002D6478" w:rsidRDefault="002D6478" w:rsidP="00D5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620D" w14:textId="77777777" w:rsidR="00A161C9" w:rsidRDefault="00A161C9">
    <w:pPr>
      <w:pStyle w:val="ab"/>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0DA6" w14:textId="77777777" w:rsidR="002D6478" w:rsidRDefault="002D6478" w:rsidP="00D55867">
      <w:pPr>
        <w:spacing w:after="0" w:line="240" w:lineRule="auto"/>
      </w:pPr>
      <w:r>
        <w:separator/>
      </w:r>
    </w:p>
  </w:footnote>
  <w:footnote w:type="continuationSeparator" w:id="0">
    <w:p w14:paraId="53567D25" w14:textId="77777777" w:rsidR="002D6478" w:rsidRDefault="002D6478" w:rsidP="00D55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11A3" w14:textId="50910A29" w:rsidR="009D0E06" w:rsidRPr="00CE49F1" w:rsidRDefault="00CE49F1" w:rsidP="009D0E06">
    <w:pPr>
      <w:spacing w:after="0" w:line="240" w:lineRule="auto"/>
      <w:jc w:val="right"/>
      <w:rPr>
        <w:rFonts w:ascii="Times New Roman" w:hAnsi="Times New Roman"/>
        <w:i/>
        <w:iCs/>
        <w:sz w:val="21"/>
        <w:szCs w:val="21"/>
      </w:rPr>
    </w:pPr>
    <w:r>
      <w:rPr>
        <w:rFonts w:ascii="Times New Roman" w:hAnsi="Times New Roman"/>
        <w:i/>
        <w:iCs/>
        <w:sz w:val="21"/>
        <w:szCs w:val="21"/>
      </w:rPr>
      <w:t xml:space="preserve">Утвержден и размещен на сайте </w:t>
    </w:r>
    <w:r w:rsidR="00430685">
      <w:rPr>
        <w:rFonts w:ascii="Times New Roman" w:hAnsi="Times New Roman"/>
        <w:i/>
        <w:iCs/>
        <w:sz w:val="21"/>
        <w:szCs w:val="21"/>
      </w:rPr>
      <w:t>21.06.2022</w:t>
    </w:r>
    <w:r>
      <w:rPr>
        <w:rFonts w:ascii="Times New Roman" w:hAnsi="Times New Roman"/>
        <w:i/>
        <w:iCs/>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F63E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4707232"/>
    <w:multiLevelType w:val="multilevel"/>
    <w:tmpl w:val="8648F6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9426DB"/>
    <w:multiLevelType w:val="hybridMultilevel"/>
    <w:tmpl w:val="B704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43D7F"/>
    <w:multiLevelType w:val="hybridMultilevel"/>
    <w:tmpl w:val="BED6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33B6F"/>
    <w:multiLevelType w:val="hybridMultilevel"/>
    <w:tmpl w:val="7CFAF304"/>
    <w:lvl w:ilvl="0" w:tplc="981C05B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091DDD"/>
    <w:multiLevelType w:val="multilevel"/>
    <w:tmpl w:val="BDCA92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2574DE"/>
    <w:multiLevelType w:val="hybridMultilevel"/>
    <w:tmpl w:val="0258454C"/>
    <w:lvl w:ilvl="0" w:tplc="3E5CD63A">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DD74AA1"/>
    <w:multiLevelType w:val="hybridMultilevel"/>
    <w:tmpl w:val="6FCAF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4488F"/>
    <w:multiLevelType w:val="hybridMultilevel"/>
    <w:tmpl w:val="CF0E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A47283"/>
    <w:multiLevelType w:val="multilevel"/>
    <w:tmpl w:val="D6F64D10"/>
    <w:lvl w:ilvl="0">
      <w:start w:val="7"/>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51E50061"/>
    <w:multiLevelType w:val="hybridMultilevel"/>
    <w:tmpl w:val="77BCF13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95C98"/>
    <w:multiLevelType w:val="multilevel"/>
    <w:tmpl w:val="1F568BC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333A22"/>
    <w:multiLevelType w:val="hybridMultilevel"/>
    <w:tmpl w:val="C36CB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3680714">
    <w:abstractNumId w:val="6"/>
  </w:num>
  <w:num w:numId="2" w16cid:durableId="1069157373">
    <w:abstractNumId w:val="4"/>
  </w:num>
  <w:num w:numId="3" w16cid:durableId="268003500">
    <w:abstractNumId w:val="2"/>
  </w:num>
  <w:num w:numId="4" w16cid:durableId="6908954">
    <w:abstractNumId w:val="12"/>
  </w:num>
  <w:num w:numId="5" w16cid:durableId="1152138582">
    <w:abstractNumId w:val="0"/>
  </w:num>
  <w:num w:numId="6" w16cid:durableId="804470304">
    <w:abstractNumId w:val="5"/>
  </w:num>
  <w:num w:numId="7" w16cid:durableId="1944221569">
    <w:abstractNumId w:val="9"/>
  </w:num>
  <w:num w:numId="8" w16cid:durableId="60060249">
    <w:abstractNumId w:val="7"/>
  </w:num>
  <w:num w:numId="9" w16cid:durableId="476148767">
    <w:abstractNumId w:val="10"/>
  </w:num>
  <w:num w:numId="10" w16cid:durableId="658389413">
    <w:abstractNumId w:val="1"/>
  </w:num>
  <w:num w:numId="11" w16cid:durableId="1040858376">
    <w:abstractNumId w:val="11"/>
  </w:num>
  <w:num w:numId="12" w16cid:durableId="62878841">
    <w:abstractNumId w:val="8"/>
  </w:num>
  <w:num w:numId="13" w16cid:durableId="249197586">
    <w:abstractNumId w:val="3"/>
  </w:num>
  <w:num w:numId="14" w16cid:durableId="850224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93"/>
    <w:rsid w:val="0000250D"/>
    <w:rsid w:val="0000582F"/>
    <w:rsid w:val="000244A3"/>
    <w:rsid w:val="00031D49"/>
    <w:rsid w:val="00033B97"/>
    <w:rsid w:val="00035693"/>
    <w:rsid w:val="00054A9E"/>
    <w:rsid w:val="00062884"/>
    <w:rsid w:val="00096C3D"/>
    <w:rsid w:val="000C0304"/>
    <w:rsid w:val="000F49D2"/>
    <w:rsid w:val="000F5C7A"/>
    <w:rsid w:val="0015116D"/>
    <w:rsid w:val="00152534"/>
    <w:rsid w:val="00156739"/>
    <w:rsid w:val="00164FFA"/>
    <w:rsid w:val="001752BE"/>
    <w:rsid w:val="001853C8"/>
    <w:rsid w:val="001B0F92"/>
    <w:rsid w:val="001B549C"/>
    <w:rsid w:val="001B785E"/>
    <w:rsid w:val="001C4DA2"/>
    <w:rsid w:val="001F305E"/>
    <w:rsid w:val="001F4A20"/>
    <w:rsid w:val="00203E8F"/>
    <w:rsid w:val="00214C05"/>
    <w:rsid w:val="002224BE"/>
    <w:rsid w:val="002231C4"/>
    <w:rsid w:val="00231015"/>
    <w:rsid w:val="00266EF2"/>
    <w:rsid w:val="002831CC"/>
    <w:rsid w:val="002A777D"/>
    <w:rsid w:val="002D2D34"/>
    <w:rsid w:val="002D6478"/>
    <w:rsid w:val="002E26D1"/>
    <w:rsid w:val="002F5249"/>
    <w:rsid w:val="00304199"/>
    <w:rsid w:val="0031116D"/>
    <w:rsid w:val="00316FE4"/>
    <w:rsid w:val="00320B2E"/>
    <w:rsid w:val="0033021C"/>
    <w:rsid w:val="003363B8"/>
    <w:rsid w:val="003A4B55"/>
    <w:rsid w:val="003B2F4E"/>
    <w:rsid w:val="003C0D13"/>
    <w:rsid w:val="003E2509"/>
    <w:rsid w:val="00412820"/>
    <w:rsid w:val="00412B4B"/>
    <w:rsid w:val="004160E4"/>
    <w:rsid w:val="004167F2"/>
    <w:rsid w:val="00430685"/>
    <w:rsid w:val="004404E6"/>
    <w:rsid w:val="00442B68"/>
    <w:rsid w:val="0044467F"/>
    <w:rsid w:val="004528CD"/>
    <w:rsid w:val="004810A4"/>
    <w:rsid w:val="00492D45"/>
    <w:rsid w:val="004A73A1"/>
    <w:rsid w:val="004C0A25"/>
    <w:rsid w:val="004D6EC6"/>
    <w:rsid w:val="004E5A81"/>
    <w:rsid w:val="004E5C8F"/>
    <w:rsid w:val="004E73C2"/>
    <w:rsid w:val="004E766C"/>
    <w:rsid w:val="004F2940"/>
    <w:rsid w:val="0050002B"/>
    <w:rsid w:val="00507CF2"/>
    <w:rsid w:val="0051451B"/>
    <w:rsid w:val="00524F77"/>
    <w:rsid w:val="0053052F"/>
    <w:rsid w:val="005446CF"/>
    <w:rsid w:val="00544BB6"/>
    <w:rsid w:val="0054699E"/>
    <w:rsid w:val="00581B9F"/>
    <w:rsid w:val="005931CF"/>
    <w:rsid w:val="00596C26"/>
    <w:rsid w:val="005B01D9"/>
    <w:rsid w:val="005D1548"/>
    <w:rsid w:val="005D5EA9"/>
    <w:rsid w:val="005E21B7"/>
    <w:rsid w:val="0061454B"/>
    <w:rsid w:val="0062054E"/>
    <w:rsid w:val="006428E6"/>
    <w:rsid w:val="006456BF"/>
    <w:rsid w:val="006518AE"/>
    <w:rsid w:val="00656260"/>
    <w:rsid w:val="006574BE"/>
    <w:rsid w:val="00665A63"/>
    <w:rsid w:val="0068058F"/>
    <w:rsid w:val="00682CE3"/>
    <w:rsid w:val="006A2A61"/>
    <w:rsid w:val="006A60E9"/>
    <w:rsid w:val="006D19DA"/>
    <w:rsid w:val="006F20A1"/>
    <w:rsid w:val="006F2CE0"/>
    <w:rsid w:val="00703652"/>
    <w:rsid w:val="00713A6A"/>
    <w:rsid w:val="007228C7"/>
    <w:rsid w:val="0078207B"/>
    <w:rsid w:val="0078273B"/>
    <w:rsid w:val="007909C4"/>
    <w:rsid w:val="007C4789"/>
    <w:rsid w:val="007C50B2"/>
    <w:rsid w:val="007D531D"/>
    <w:rsid w:val="008236CF"/>
    <w:rsid w:val="00851DD2"/>
    <w:rsid w:val="00883D39"/>
    <w:rsid w:val="008A32C2"/>
    <w:rsid w:val="008B1E6D"/>
    <w:rsid w:val="008C14B9"/>
    <w:rsid w:val="008F2536"/>
    <w:rsid w:val="00902649"/>
    <w:rsid w:val="00907645"/>
    <w:rsid w:val="00915615"/>
    <w:rsid w:val="009203D4"/>
    <w:rsid w:val="00927479"/>
    <w:rsid w:val="00934E2A"/>
    <w:rsid w:val="00943C18"/>
    <w:rsid w:val="00952323"/>
    <w:rsid w:val="00952E94"/>
    <w:rsid w:val="00956A01"/>
    <w:rsid w:val="00964027"/>
    <w:rsid w:val="00974EFD"/>
    <w:rsid w:val="00990DA5"/>
    <w:rsid w:val="009A6564"/>
    <w:rsid w:val="009B0D2B"/>
    <w:rsid w:val="009C4B19"/>
    <w:rsid w:val="009C79E6"/>
    <w:rsid w:val="009D0E06"/>
    <w:rsid w:val="009D65C9"/>
    <w:rsid w:val="009E41EA"/>
    <w:rsid w:val="009F319E"/>
    <w:rsid w:val="009F6B00"/>
    <w:rsid w:val="00A161C9"/>
    <w:rsid w:val="00A244E0"/>
    <w:rsid w:val="00A3358F"/>
    <w:rsid w:val="00A44FB6"/>
    <w:rsid w:val="00AC58EA"/>
    <w:rsid w:val="00AD7BF7"/>
    <w:rsid w:val="00AE4267"/>
    <w:rsid w:val="00AE43CC"/>
    <w:rsid w:val="00B0477B"/>
    <w:rsid w:val="00B06773"/>
    <w:rsid w:val="00B07C27"/>
    <w:rsid w:val="00B10556"/>
    <w:rsid w:val="00B15E09"/>
    <w:rsid w:val="00B336BC"/>
    <w:rsid w:val="00B463CD"/>
    <w:rsid w:val="00B61E95"/>
    <w:rsid w:val="00B706A4"/>
    <w:rsid w:val="00B732DC"/>
    <w:rsid w:val="00B751FA"/>
    <w:rsid w:val="00BA6E58"/>
    <w:rsid w:val="00BB681C"/>
    <w:rsid w:val="00BC1504"/>
    <w:rsid w:val="00BF4B53"/>
    <w:rsid w:val="00C04590"/>
    <w:rsid w:val="00C173E4"/>
    <w:rsid w:val="00C21D11"/>
    <w:rsid w:val="00C21F75"/>
    <w:rsid w:val="00C2240E"/>
    <w:rsid w:val="00C31F1B"/>
    <w:rsid w:val="00C34917"/>
    <w:rsid w:val="00C41DB2"/>
    <w:rsid w:val="00C44CEE"/>
    <w:rsid w:val="00C4632C"/>
    <w:rsid w:val="00C4766C"/>
    <w:rsid w:val="00C635C9"/>
    <w:rsid w:val="00C71EEC"/>
    <w:rsid w:val="00C74C7A"/>
    <w:rsid w:val="00C911E2"/>
    <w:rsid w:val="00CA0749"/>
    <w:rsid w:val="00CA5B39"/>
    <w:rsid w:val="00CE49F1"/>
    <w:rsid w:val="00CF69B3"/>
    <w:rsid w:val="00D04B73"/>
    <w:rsid w:val="00D40EBF"/>
    <w:rsid w:val="00D5319F"/>
    <w:rsid w:val="00D55867"/>
    <w:rsid w:val="00D62208"/>
    <w:rsid w:val="00D74569"/>
    <w:rsid w:val="00DA0290"/>
    <w:rsid w:val="00DC7D4F"/>
    <w:rsid w:val="00DD7B9B"/>
    <w:rsid w:val="00DE35FF"/>
    <w:rsid w:val="00E40F21"/>
    <w:rsid w:val="00E46154"/>
    <w:rsid w:val="00E54710"/>
    <w:rsid w:val="00E640B6"/>
    <w:rsid w:val="00E6414E"/>
    <w:rsid w:val="00E74771"/>
    <w:rsid w:val="00EA1DA2"/>
    <w:rsid w:val="00EC7A95"/>
    <w:rsid w:val="00ED1A47"/>
    <w:rsid w:val="00EE0CED"/>
    <w:rsid w:val="00EE5BBB"/>
    <w:rsid w:val="00EF277C"/>
    <w:rsid w:val="00EF2B97"/>
    <w:rsid w:val="00F00780"/>
    <w:rsid w:val="00F02B0F"/>
    <w:rsid w:val="00F02E5B"/>
    <w:rsid w:val="00F139A8"/>
    <w:rsid w:val="00F15493"/>
    <w:rsid w:val="00F334BD"/>
    <w:rsid w:val="00F6352D"/>
    <w:rsid w:val="00F637B5"/>
    <w:rsid w:val="00F82724"/>
    <w:rsid w:val="00F842BD"/>
    <w:rsid w:val="00F85CD0"/>
    <w:rsid w:val="00F86427"/>
    <w:rsid w:val="00F938B2"/>
    <w:rsid w:val="00F93FEF"/>
    <w:rsid w:val="00F97DC1"/>
    <w:rsid w:val="00FA11F1"/>
    <w:rsid w:val="00FA3F56"/>
    <w:rsid w:val="00FA4AFF"/>
    <w:rsid w:val="00FC62DF"/>
    <w:rsid w:val="00FD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402F5"/>
  <w15:docId w15:val="{C5D7FCBA-0ADC-4832-8470-87566C8A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69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693"/>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214C05"/>
    <w:pPr>
      <w:overflowPunct w:val="0"/>
      <w:autoSpaceDE w:val="0"/>
      <w:autoSpaceDN w:val="0"/>
      <w:adjustRightInd w:val="0"/>
      <w:spacing w:after="0" w:line="240" w:lineRule="auto"/>
      <w:jc w:val="both"/>
    </w:pPr>
    <w:rPr>
      <w:rFonts w:ascii="Times New Roman" w:hAnsi="Times New Roman"/>
      <w:szCs w:val="20"/>
    </w:rPr>
  </w:style>
  <w:style w:type="character" w:customStyle="1" w:styleId="a5">
    <w:name w:val="Основной текст Знак"/>
    <w:link w:val="a4"/>
    <w:rsid w:val="00214C05"/>
    <w:rPr>
      <w:rFonts w:ascii="Times New Roman" w:eastAsia="Times New Roman" w:hAnsi="Times New Roman" w:cs="Times New Roman"/>
      <w:szCs w:val="20"/>
      <w:lang w:eastAsia="ru-RU"/>
    </w:rPr>
  </w:style>
  <w:style w:type="paragraph" w:styleId="a6">
    <w:name w:val="Balloon Text"/>
    <w:basedOn w:val="a"/>
    <w:link w:val="a7"/>
    <w:unhideWhenUsed/>
    <w:rsid w:val="00203E8F"/>
    <w:pPr>
      <w:spacing w:after="0" w:line="240" w:lineRule="auto"/>
    </w:pPr>
    <w:rPr>
      <w:rFonts w:ascii="Tahoma" w:hAnsi="Tahoma" w:cs="Tahoma"/>
      <w:sz w:val="16"/>
      <w:szCs w:val="16"/>
    </w:rPr>
  </w:style>
  <w:style w:type="character" w:customStyle="1" w:styleId="a7">
    <w:name w:val="Текст выноски Знак"/>
    <w:link w:val="a6"/>
    <w:rsid w:val="00203E8F"/>
    <w:rPr>
      <w:rFonts w:ascii="Tahoma" w:eastAsia="Times New Roman" w:hAnsi="Tahoma" w:cs="Tahoma"/>
      <w:sz w:val="16"/>
      <w:szCs w:val="16"/>
      <w:lang w:eastAsia="ru-RU"/>
    </w:rPr>
  </w:style>
  <w:style w:type="table" w:styleId="a8">
    <w:name w:val="Table Grid"/>
    <w:basedOn w:val="a1"/>
    <w:uiPriority w:val="59"/>
    <w:rsid w:val="004D6E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55867"/>
    <w:pPr>
      <w:tabs>
        <w:tab w:val="center" w:pos="4677"/>
        <w:tab w:val="right" w:pos="9355"/>
      </w:tabs>
    </w:pPr>
  </w:style>
  <w:style w:type="character" w:customStyle="1" w:styleId="aa">
    <w:name w:val="Верхний колонтитул Знак"/>
    <w:link w:val="a9"/>
    <w:uiPriority w:val="99"/>
    <w:rsid w:val="00D55867"/>
    <w:rPr>
      <w:rFonts w:eastAsia="Times New Roman"/>
      <w:sz w:val="22"/>
      <w:szCs w:val="22"/>
    </w:rPr>
  </w:style>
  <w:style w:type="paragraph" w:styleId="ab">
    <w:name w:val="footer"/>
    <w:basedOn w:val="a"/>
    <w:link w:val="ac"/>
    <w:uiPriority w:val="99"/>
    <w:unhideWhenUsed/>
    <w:rsid w:val="00D55867"/>
    <w:pPr>
      <w:tabs>
        <w:tab w:val="center" w:pos="4677"/>
        <w:tab w:val="right" w:pos="9355"/>
      </w:tabs>
    </w:pPr>
  </w:style>
  <w:style w:type="character" w:customStyle="1" w:styleId="ac">
    <w:name w:val="Нижний колонтитул Знак"/>
    <w:link w:val="ab"/>
    <w:uiPriority w:val="99"/>
    <w:rsid w:val="00D55867"/>
    <w:rPr>
      <w:rFonts w:eastAsia="Times New Roman"/>
      <w:sz w:val="22"/>
      <w:szCs w:val="22"/>
    </w:rPr>
  </w:style>
  <w:style w:type="paragraph" w:styleId="2">
    <w:name w:val="Body Text 2"/>
    <w:basedOn w:val="a"/>
    <w:link w:val="20"/>
    <w:uiPriority w:val="99"/>
    <w:semiHidden/>
    <w:unhideWhenUsed/>
    <w:rsid w:val="00C71EEC"/>
    <w:pPr>
      <w:spacing w:after="120" w:line="480" w:lineRule="auto"/>
    </w:pPr>
  </w:style>
  <w:style w:type="character" w:customStyle="1" w:styleId="20">
    <w:name w:val="Основной текст 2 Знак"/>
    <w:link w:val="2"/>
    <w:uiPriority w:val="99"/>
    <w:semiHidden/>
    <w:rsid w:val="00C71EEC"/>
    <w:rPr>
      <w:rFonts w:eastAsia="Times New Roman"/>
      <w:sz w:val="22"/>
      <w:szCs w:val="22"/>
    </w:rPr>
  </w:style>
  <w:style w:type="character" w:styleId="ad">
    <w:name w:val="Intense Emphasis"/>
    <w:uiPriority w:val="21"/>
    <w:qFormat/>
    <w:rsid w:val="004810A4"/>
    <w:rPr>
      <w:b/>
      <w:bCs/>
      <w:i/>
      <w:iCs/>
      <w:color w:val="4F81BD"/>
    </w:rPr>
  </w:style>
  <w:style w:type="character" w:styleId="ae">
    <w:name w:val="Hyperlink"/>
    <w:rsid w:val="007D531D"/>
    <w:rPr>
      <w:color w:val="0000FF"/>
      <w:u w:val="single"/>
    </w:rPr>
  </w:style>
  <w:style w:type="paragraph" w:styleId="af">
    <w:name w:val="List Paragraph"/>
    <w:basedOn w:val="a"/>
    <w:uiPriority w:val="34"/>
    <w:qFormat/>
    <w:rsid w:val="007D531D"/>
    <w:pPr>
      <w:spacing w:after="0" w:line="240" w:lineRule="auto"/>
      <w:ind w:left="720"/>
      <w:contextualSpacing/>
    </w:pPr>
    <w:rPr>
      <w:rFonts w:ascii="Times New Roman" w:hAnsi="Times New Roman"/>
      <w:sz w:val="20"/>
      <w:szCs w:val="20"/>
    </w:rPr>
  </w:style>
  <w:style w:type="paragraph" w:customStyle="1" w:styleId="ConsPlusNormal">
    <w:name w:val="ConsPlusNormal"/>
    <w:rsid w:val="001B0F92"/>
    <w:pPr>
      <w:widowControl w:val="0"/>
      <w:autoSpaceDE w:val="0"/>
      <w:autoSpaceDN w:val="0"/>
    </w:pPr>
    <w:rPr>
      <w:rFonts w:eastAsia="Times New Roman" w:cs="Calibri"/>
      <w:sz w:val="22"/>
    </w:rPr>
  </w:style>
  <w:style w:type="paragraph" w:customStyle="1" w:styleId="ConsPlusNonformat">
    <w:name w:val="ConsPlusNonformat"/>
    <w:rsid w:val="001B0F92"/>
    <w:pPr>
      <w:widowControl w:val="0"/>
      <w:autoSpaceDE w:val="0"/>
      <w:autoSpaceDN w:val="0"/>
    </w:pPr>
    <w:rPr>
      <w:rFonts w:ascii="Courier New" w:eastAsia="Times New Roman" w:hAnsi="Courier New" w:cs="Courier New"/>
    </w:rPr>
  </w:style>
  <w:style w:type="character" w:customStyle="1" w:styleId="Barcode">
    <w:name w:val="Barcode_"/>
    <w:link w:val="Barcode0"/>
    <w:uiPriority w:val="99"/>
    <w:rsid w:val="0053052F"/>
    <w:rPr>
      <w:shd w:val="clear" w:color="auto" w:fill="FFFFFF"/>
    </w:rPr>
  </w:style>
  <w:style w:type="paragraph" w:customStyle="1" w:styleId="Barcode0">
    <w:name w:val="Barcode"/>
    <w:basedOn w:val="a"/>
    <w:link w:val="Barcode"/>
    <w:uiPriority w:val="99"/>
    <w:rsid w:val="0053052F"/>
    <w:pPr>
      <w:widowControl w:val="0"/>
      <w:shd w:val="clear" w:color="auto" w:fill="FFFFFF"/>
      <w:spacing w:after="0" w:line="240" w:lineRule="auto"/>
    </w:pPr>
    <w:rPr>
      <w:rFonts w:eastAsia="Calibri"/>
      <w:sz w:val="20"/>
      <w:szCs w:val="20"/>
    </w:rPr>
  </w:style>
  <w:style w:type="paragraph" w:styleId="af0">
    <w:name w:val="annotation text"/>
    <w:basedOn w:val="a"/>
    <w:link w:val="af1"/>
    <w:rsid w:val="0053052F"/>
    <w:pPr>
      <w:spacing w:after="0" w:line="240" w:lineRule="auto"/>
    </w:pPr>
    <w:rPr>
      <w:rFonts w:ascii="Times New Roman" w:hAnsi="Times New Roman"/>
      <w:sz w:val="20"/>
      <w:szCs w:val="20"/>
    </w:rPr>
  </w:style>
  <w:style w:type="character" w:customStyle="1" w:styleId="af1">
    <w:name w:val="Текст примечания Знак"/>
    <w:link w:val="af0"/>
    <w:rsid w:val="0053052F"/>
    <w:rPr>
      <w:rFonts w:ascii="Times New Roman" w:eastAsia="Times New Roman" w:hAnsi="Times New Roman"/>
    </w:rPr>
  </w:style>
  <w:style w:type="character" w:styleId="af2">
    <w:name w:val="annotation reference"/>
    <w:rsid w:val="00DE35FF"/>
    <w:rPr>
      <w:sz w:val="16"/>
      <w:szCs w:val="16"/>
    </w:rPr>
  </w:style>
  <w:style w:type="paragraph" w:styleId="af3">
    <w:name w:val="annotation subject"/>
    <w:basedOn w:val="af0"/>
    <w:next w:val="af0"/>
    <w:link w:val="af4"/>
    <w:uiPriority w:val="99"/>
    <w:semiHidden/>
    <w:unhideWhenUsed/>
    <w:rsid w:val="009203D4"/>
    <w:pPr>
      <w:spacing w:after="200" w:line="276" w:lineRule="auto"/>
    </w:pPr>
    <w:rPr>
      <w:rFonts w:ascii="Calibri" w:hAnsi="Calibri"/>
      <w:b/>
      <w:bCs/>
    </w:rPr>
  </w:style>
  <w:style w:type="character" w:customStyle="1" w:styleId="af4">
    <w:name w:val="Тема примечания Знак"/>
    <w:basedOn w:val="af1"/>
    <w:link w:val="af3"/>
    <w:uiPriority w:val="99"/>
    <w:semiHidden/>
    <w:rsid w:val="009203D4"/>
    <w:rPr>
      <w:rFonts w:ascii="Times New Roman" w:eastAsia="Times New Roman" w:hAnsi="Times New Roman"/>
      <w:b/>
      <w:bCs/>
    </w:rPr>
  </w:style>
  <w:style w:type="character" w:styleId="af5">
    <w:name w:val="Unresolved Mention"/>
    <w:basedOn w:val="a0"/>
    <w:uiPriority w:val="99"/>
    <w:semiHidden/>
    <w:unhideWhenUsed/>
    <w:rsid w:val="00FC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49790">
      <w:bodyDiv w:val="1"/>
      <w:marLeft w:val="0"/>
      <w:marRight w:val="0"/>
      <w:marTop w:val="0"/>
      <w:marBottom w:val="0"/>
      <w:divBdr>
        <w:top w:val="none" w:sz="0" w:space="0" w:color="auto"/>
        <w:left w:val="none" w:sz="0" w:space="0" w:color="auto"/>
        <w:bottom w:val="none" w:sz="0" w:space="0" w:color="auto"/>
        <w:right w:val="none" w:sz="0" w:space="0" w:color="auto"/>
      </w:divBdr>
    </w:div>
    <w:div w:id="1307398282">
      <w:bodyDiv w:val="1"/>
      <w:marLeft w:val="0"/>
      <w:marRight w:val="0"/>
      <w:marTop w:val="0"/>
      <w:marBottom w:val="0"/>
      <w:divBdr>
        <w:top w:val="none" w:sz="0" w:space="0" w:color="auto"/>
        <w:left w:val="none" w:sz="0" w:space="0" w:color="auto"/>
        <w:bottom w:val="none" w:sz="0" w:space="0" w:color="auto"/>
        <w:right w:val="none" w:sz="0" w:space="0" w:color="auto"/>
      </w:divBdr>
    </w:div>
    <w:div w:id="1368026967">
      <w:bodyDiv w:val="1"/>
      <w:marLeft w:val="0"/>
      <w:marRight w:val="0"/>
      <w:marTop w:val="0"/>
      <w:marBottom w:val="0"/>
      <w:divBdr>
        <w:top w:val="none" w:sz="0" w:space="0" w:color="auto"/>
        <w:left w:val="none" w:sz="0" w:space="0" w:color="auto"/>
        <w:bottom w:val="none" w:sz="0" w:space="0" w:color="auto"/>
        <w:right w:val="none" w:sz="0" w:space="0" w:color="auto"/>
      </w:divBdr>
      <w:divsChild>
        <w:div w:id="130373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log.gov.ru/rn22/taxation/submission_statements/edo_rees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5912</CharactersWithSpaces>
  <SharedDoc>false</SharedDoc>
  <HLinks>
    <vt:vector size="6" baseType="variant">
      <vt:variant>
        <vt:i4>7536704</vt:i4>
      </vt:variant>
      <vt:variant>
        <vt:i4>0</vt:i4>
      </vt:variant>
      <vt:variant>
        <vt:i4>0</vt:i4>
      </vt:variant>
      <vt:variant>
        <vt:i4>5</vt:i4>
      </vt:variant>
      <vt:variant>
        <vt:lpwstr>http://www.nalog.ru/otchet/el_vid/el_schet/reestr_edo/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Оверченко Виолетта Романовна</cp:lastModifiedBy>
  <cp:revision>4</cp:revision>
  <cp:lastPrinted>2019-03-20T05:08:00Z</cp:lastPrinted>
  <dcterms:created xsi:type="dcterms:W3CDTF">2022-06-16T06:44:00Z</dcterms:created>
  <dcterms:modified xsi:type="dcterms:W3CDTF">2022-06-21T05:23:00Z</dcterms:modified>
</cp:coreProperties>
</file>